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CBC" w:rsidRPr="00B22CBC" w:rsidRDefault="00B22CBC" w:rsidP="00B22CBC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6"/>
          <w:szCs w:val="26"/>
          <w:u w:val="single"/>
          <w:lang w:bidi="en-US"/>
        </w:rPr>
      </w:pPr>
      <w:r>
        <w:rPr>
          <w:rFonts w:ascii="Arial" w:eastAsia="Times New Roman" w:hAnsi="Arial" w:cs="Times New Roman"/>
          <w:noProof/>
          <w:sz w:val="26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-226695</wp:posOffset>
                </wp:positionV>
                <wp:extent cx="1257300" cy="2286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2CBC" w:rsidRDefault="00B22CBC" w:rsidP="00B22CBC"/>
                          <w:p w:rsidR="00B22CBC" w:rsidRDefault="00B22CBC" w:rsidP="00B22CBC"/>
                          <w:p w:rsidR="00B22CBC" w:rsidRDefault="00B22CBC" w:rsidP="00B22C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96pt;margin-top:-17.85pt;width:99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vznvwIAALkFAAAOAAAAZHJzL2Uyb0RvYy54bWysVEtu2zAQ3RfoHQjuFX0i25IQOUgsqyiQ&#10;foC0B6AlyiIqkSpJW0qDnqWn6KpAz+AjdUjZjpOgQNFWC4LkDN/Mm3mai8uhbdCWSsUET7F/5mFE&#10;eSFKxtcp/vghdyKMlCa8JI3gNMV3VOHL+csXF32X0EDUoimpRADCVdJ3Ka617hLXVUVNW6LOREc5&#10;GCshW6LhKNduKUkP6G3jBp43dXshy06KgioFt9loxHOLX1W00O+qSlGNmhRDbtqu0q4rs7rzC5Ks&#10;JelqVuzTIH+RRUsYh6BHqIxogjaSPYNqWSGFEpU+K0TriqpiBbUcgI3vPWFzW5OOWi5QHNUdy6T+&#10;H2zxdvteIlZC7zDipIUW7b7tfu5+7L4j31Sn71QCTrcduOnhWgzG0zBV3Y0oPinExaImfE2vpBR9&#10;TUkJ2dmX7snTEUcZkFX/RpQQhmy0sEBDJVsDCMVAgA5dujt2hg4aFSZkMJmde2AqwBYE0RT2kJxL&#10;ksPrTir9iooWmU2KJXTeopPtjdKj68HFBOMiZ01ju9/wRxeAOd5AbHhqbCYL28z72IuX0TIKnTCY&#10;Lp3QyzLnKl+EzjT3Z5PsPFssMv+rieuHSc3KknIT5iAsP/yzxu0lPkriKC0lGlYaOJOSkuvVopFo&#10;S0DYuf32BTlxcx+nYesFXJ5Q8oPQuw5iJ59GMyfMw4kTz7zI8fz4Op56YRxm+WNKN4zTf6eE+hTH&#10;k2Ayium33Dz7PedGkpZpGB0Na1McHZ1IYiS45KVtrSasGfcnpTDpP5QC2n1otBWs0eioVj2sBkAx&#10;Kl6J8g6kKwUoC0QI8w42tZBfMOphdqRYfd4QSTFqXnOQf+yHoRk29hBOZgEc5KlldWohvACoFGuM&#10;xu1CjwNq00m2riHS+MNxcQW/TMWsmh+yAirmAPPBktrPMjOATs/W62Hizn8BAAD//wMAUEsDBBQA&#10;BgAIAAAAIQCio2aZ3QAAAAgBAAAPAAAAZHJzL2Rvd25yZXYueG1sTI/NTsMwEITvSLyDtUjcWpuW&#10;UhKyqRCIK6jlR+LmxtskIl5HsduEt2c5wXF2RrPfFJvJd+pEQ2wDI1zNDSjiKriWa4S316fZLaiY&#10;LDvbBSaEb4qwKc/PCpu7MPKWTrtUKynhmFuEJqU+1zpWDXkb56EnFu8QBm+TyKHWbrCjlPtOL4y5&#10;0d62LB8a29NDQ9XX7ugR3p8Pnx/X5qV+9Kt+DJPR7DONeHkx3d+BSjSlvzD84gs6lMK0D0d2UXUI&#10;62whWxLCbLlag5JElhm57BGWoMtC/x9Q/gAAAP//AwBQSwECLQAUAAYACAAAACEAtoM4kv4AAADh&#10;AQAAEwAAAAAAAAAAAAAAAAAAAAAAW0NvbnRlbnRfVHlwZXNdLnhtbFBLAQItABQABgAIAAAAIQA4&#10;/SH/1gAAAJQBAAALAAAAAAAAAAAAAAAAAC8BAABfcmVscy8ucmVsc1BLAQItABQABgAIAAAAIQCn&#10;0vznvwIAALkFAAAOAAAAAAAAAAAAAAAAAC4CAABkcnMvZTJvRG9jLnhtbFBLAQItABQABgAIAAAA&#10;IQCio2aZ3QAAAAgBAAAPAAAAAAAAAAAAAAAAABkFAABkcnMvZG93bnJldi54bWxQSwUGAAAAAAQA&#10;BADzAAAAIwYAAAAA&#10;" filled="f" stroked="f">
                <v:textbox>
                  <w:txbxContent>
                    <w:p w:rsidR="00B22CBC" w:rsidRDefault="00B22CBC" w:rsidP="00B22CBC"/>
                    <w:p w:rsidR="00B22CBC" w:rsidRDefault="00B22CBC" w:rsidP="00B22CBC"/>
                    <w:p w:rsidR="00B22CBC" w:rsidRDefault="00B22CBC" w:rsidP="00B22CBC"/>
                  </w:txbxContent>
                </v:textbox>
              </v:shape>
            </w:pict>
          </mc:Fallback>
        </mc:AlternateContent>
      </w:r>
      <w:r w:rsidRPr="00B22CBC">
        <w:rPr>
          <w:rFonts w:ascii="Arial" w:eastAsia="Times New Roman" w:hAnsi="Arial" w:cs="Arial"/>
          <w:b/>
          <w:sz w:val="26"/>
          <w:szCs w:val="26"/>
          <w:u w:val="single"/>
          <w:lang w:bidi="en-US"/>
        </w:rPr>
        <w:t>Извещение №1/им – 2014</w:t>
      </w:r>
    </w:p>
    <w:p w:rsidR="00B22CBC" w:rsidRPr="00B22CBC" w:rsidRDefault="00B22CBC" w:rsidP="00B22CBC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6"/>
          <w:szCs w:val="26"/>
          <w:u w:val="single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u w:val="single"/>
          <w:lang w:bidi="en-US"/>
        </w:rPr>
        <w:t xml:space="preserve">администрации </w:t>
      </w:r>
      <w:proofErr w:type="spellStart"/>
      <w:r w:rsidRPr="00B22CBC">
        <w:rPr>
          <w:rFonts w:ascii="Arial" w:eastAsia="Times New Roman" w:hAnsi="Arial" w:cs="Arial"/>
          <w:b/>
          <w:sz w:val="26"/>
          <w:szCs w:val="26"/>
          <w:u w:val="single"/>
          <w:lang w:bidi="en-US"/>
        </w:rPr>
        <w:t>Уватского</w:t>
      </w:r>
      <w:proofErr w:type="spellEnd"/>
      <w:r w:rsidRPr="00B22CBC">
        <w:rPr>
          <w:rFonts w:ascii="Arial" w:eastAsia="Times New Roman" w:hAnsi="Arial" w:cs="Arial"/>
          <w:b/>
          <w:sz w:val="26"/>
          <w:szCs w:val="26"/>
          <w:u w:val="single"/>
          <w:lang w:bidi="en-US"/>
        </w:rPr>
        <w:t xml:space="preserve"> муниципального района</w:t>
      </w:r>
    </w:p>
    <w:p w:rsidR="00B22CBC" w:rsidRPr="00B22CBC" w:rsidRDefault="00B22CBC" w:rsidP="00B22CBC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B22CBC" w:rsidRPr="00B22CBC" w:rsidRDefault="00B22CBC" w:rsidP="00B22CBC">
      <w:pPr>
        <w:spacing w:after="0" w:line="240" w:lineRule="auto"/>
        <w:ind w:hanging="540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Администрация </w:t>
      </w:r>
      <w:proofErr w:type="spellStart"/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муниципального района -</w:t>
      </w:r>
    </w:p>
    <w:p w:rsidR="00B22CBC" w:rsidRPr="00B22CBC" w:rsidRDefault="00B22CBC" w:rsidP="00B22CB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продавец имущества, находящегося в муниципальной собственности </w:t>
      </w:r>
      <w:proofErr w:type="spellStart"/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>Уватского</w:t>
      </w:r>
      <w:proofErr w:type="spellEnd"/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муниципального района Тюменской области, сообщает о проведен</w:t>
      </w:r>
      <w:proofErr w:type="gramStart"/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>ии ау</w:t>
      </w:r>
      <w:proofErr w:type="gramEnd"/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кциона по продаже </w:t>
      </w:r>
    </w:p>
    <w:p w:rsidR="00B22CBC" w:rsidRPr="00B22CBC" w:rsidRDefault="00B22CBC" w:rsidP="00B22CB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муниципального имущества </w:t>
      </w:r>
    </w:p>
    <w:p w:rsidR="00B22CBC" w:rsidRPr="00B22CBC" w:rsidRDefault="00B22CBC" w:rsidP="00B22CB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B22CBC" w:rsidRPr="00B22CBC" w:rsidRDefault="00B22CBC" w:rsidP="00B22CB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val="en-US" w:bidi="en-US"/>
        </w:rPr>
        <w:t>I</w:t>
      </w: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>. Общие положения</w:t>
      </w:r>
    </w:p>
    <w:p w:rsidR="00B22CBC" w:rsidRPr="00B22CBC" w:rsidRDefault="00B22CBC" w:rsidP="00B22CBC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1. Основание для проведения торгов – </w:t>
      </w: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решение об условиях приватизации муниципального имущества – арочный склад сборно-разборная металлическая конструкция (далее - имущество), утвержденное распоряжением администрации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Уватского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муниципального района от 31.03.2014  № </w:t>
      </w:r>
      <w:r w:rsidRPr="00B22CBC">
        <w:rPr>
          <w:rFonts w:ascii="Arial" w:eastAsia="Times New Roman" w:hAnsi="Arial" w:cs="Times New Roman"/>
          <w:sz w:val="26"/>
          <w:szCs w:val="24"/>
          <w:lang w:val="en-US" w:bidi="en-US"/>
        </w:rPr>
        <w:fldChar w:fldCharType="begin"/>
      </w:r>
      <w:r w:rsidRPr="00B22CBC">
        <w:rPr>
          <w:rFonts w:ascii="Arial" w:eastAsia="Times New Roman" w:hAnsi="Arial" w:cs="Times New Roman"/>
          <w:sz w:val="26"/>
          <w:szCs w:val="24"/>
          <w:lang w:bidi="en-US"/>
        </w:rPr>
        <w:instrText xml:space="preserve"> </w:instrText>
      </w:r>
      <w:r w:rsidRPr="00B22CBC">
        <w:rPr>
          <w:rFonts w:ascii="Arial" w:eastAsia="Times New Roman" w:hAnsi="Arial" w:cs="Times New Roman"/>
          <w:sz w:val="26"/>
          <w:szCs w:val="24"/>
          <w:lang w:val="en-US" w:bidi="en-US"/>
        </w:rPr>
        <w:instrText>DOCPROPERTY</w:instrText>
      </w:r>
      <w:r w:rsidRPr="00B22CBC">
        <w:rPr>
          <w:rFonts w:ascii="Arial" w:eastAsia="Times New Roman" w:hAnsi="Arial" w:cs="Times New Roman"/>
          <w:sz w:val="26"/>
          <w:szCs w:val="24"/>
          <w:lang w:bidi="en-US"/>
        </w:rPr>
        <w:instrText xml:space="preserve"> "№ документа" \* </w:instrText>
      </w:r>
      <w:r w:rsidRPr="00B22CBC">
        <w:rPr>
          <w:rFonts w:ascii="Arial" w:eastAsia="Times New Roman" w:hAnsi="Arial" w:cs="Times New Roman"/>
          <w:sz w:val="26"/>
          <w:szCs w:val="24"/>
          <w:lang w:val="en-US" w:bidi="en-US"/>
        </w:rPr>
        <w:instrText>MERGEFORMAT</w:instrText>
      </w:r>
      <w:r w:rsidRPr="00B22CBC">
        <w:rPr>
          <w:rFonts w:ascii="Arial" w:eastAsia="Times New Roman" w:hAnsi="Arial" w:cs="Times New Roman"/>
          <w:sz w:val="26"/>
          <w:szCs w:val="24"/>
          <w:lang w:bidi="en-US"/>
        </w:rPr>
        <w:instrText xml:space="preserve"> </w:instrText>
      </w:r>
      <w:r w:rsidRPr="00B22CBC">
        <w:rPr>
          <w:rFonts w:ascii="Arial" w:eastAsia="Times New Roman" w:hAnsi="Arial" w:cs="Times New Roman"/>
          <w:sz w:val="26"/>
          <w:szCs w:val="24"/>
          <w:lang w:val="en-US" w:bidi="en-US"/>
        </w:rPr>
        <w:fldChar w:fldCharType="separate"/>
      </w:r>
      <w:r w:rsidR="00104C79">
        <w:rPr>
          <w:rFonts w:ascii="Arial" w:eastAsia="Times New Roman" w:hAnsi="Arial" w:cs="Times New Roman"/>
          <w:sz w:val="26"/>
          <w:szCs w:val="24"/>
          <w:lang w:bidi="en-US"/>
        </w:rPr>
        <w:t>453</w:t>
      </w:r>
      <w:r w:rsidRPr="00B22CBC">
        <w:rPr>
          <w:rFonts w:ascii="Arial" w:eastAsia="Times New Roman" w:hAnsi="Arial" w:cs="Times New Roman"/>
          <w:sz w:val="26"/>
          <w:szCs w:val="24"/>
          <w:lang w:bidi="en-US"/>
        </w:rPr>
        <w:t>-</w:t>
      </w:r>
      <w:r w:rsidRPr="00B22CBC">
        <w:rPr>
          <w:rFonts w:ascii="Arial" w:eastAsia="Times New Roman" w:hAnsi="Arial" w:cs="Times New Roman"/>
          <w:sz w:val="26"/>
          <w:szCs w:val="24"/>
          <w:lang w:val="en-US" w:bidi="en-US"/>
        </w:rPr>
        <w:fldChar w:fldCharType="end"/>
      </w:r>
      <w:r w:rsidRPr="00B22CBC">
        <w:rPr>
          <w:rFonts w:ascii="Arial" w:eastAsia="Times New Roman" w:hAnsi="Arial" w:cs="Times New Roman"/>
          <w:sz w:val="26"/>
          <w:szCs w:val="24"/>
          <w:lang w:bidi="en-US"/>
        </w:rPr>
        <w:t>р</w:t>
      </w:r>
      <w:r w:rsidRPr="00B22CBC">
        <w:rPr>
          <w:rFonts w:ascii="Arial" w:eastAsia="Times New Roman" w:hAnsi="Arial" w:cs="Arial"/>
          <w:sz w:val="26"/>
          <w:szCs w:val="26"/>
          <w:lang w:bidi="en-US"/>
        </w:rPr>
        <w:t>.</w:t>
      </w: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>2. Собственник выставляемого на продажу имущества</w:t>
      </w: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–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Уватский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муниципальный район Тюменской области.</w:t>
      </w: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>3. Форма торгов (способ приватизации) -</w:t>
      </w: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аукцион, открытый по составу участников и  по форме подачи предложений о цене.</w:t>
      </w: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4.  Место, даты начала и окончания приема заявок на участие в аукционе – </w:t>
      </w:r>
      <w:r w:rsidRPr="00B22CBC">
        <w:rPr>
          <w:rFonts w:ascii="Arial" w:eastAsia="Times New Roman" w:hAnsi="Arial" w:cs="Arial"/>
          <w:sz w:val="26"/>
          <w:szCs w:val="26"/>
          <w:lang w:bidi="en-US"/>
        </w:rPr>
        <w:t>с 04 апреля 20</w:t>
      </w:r>
      <w:bookmarkStart w:id="0" w:name="_GoBack"/>
      <w:bookmarkEnd w:id="0"/>
      <w:r w:rsidRPr="00B22CBC">
        <w:rPr>
          <w:rFonts w:ascii="Arial" w:eastAsia="Times New Roman" w:hAnsi="Arial" w:cs="Arial"/>
          <w:sz w:val="26"/>
          <w:szCs w:val="26"/>
          <w:lang w:bidi="en-US"/>
        </w:rPr>
        <w:t>14 года по 05 мая 2014 г. в рабочие дни с 8.45 час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bidi="en-US"/>
        </w:rPr>
        <w:t>.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д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о 17.00 час. по местному времени по адресу: с. Уват, ул. Иртышская, д.19,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каб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. 331, контактный тел. 8 (34561) 28-042.  </w:t>
      </w: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>5. Порядок подачи заявок на участие в аукционе и порядок возвращения задатка.</w:t>
      </w: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Одно лицо имеет право подать только одну заявку. Заявки подаются, начиная с опубликованной даты начала приема заявок до даты окончания приема заявок, указанных в настоящем информационном сообщении, путем вручения их продавцу. Заявки подаются и принимаются одновременно с полным комплектом требуемых для участия в аукционе документов.</w:t>
      </w: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позднее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Заявка считается принятой продавцом, если ей присвоен регистрационный номер, о чем на заявке делается соответствующая отметка. </w:t>
      </w: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B22CBC" w:rsidRPr="00B22CBC" w:rsidRDefault="00B22CBC" w:rsidP="00B22CBC">
      <w:pPr>
        <w:tabs>
          <w:tab w:val="left" w:pos="993"/>
        </w:tabs>
        <w:spacing w:after="0" w:line="240" w:lineRule="auto"/>
        <w:ind w:right="-143" w:firstLine="567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6. Информация о задатке. </w:t>
      </w:r>
    </w:p>
    <w:p w:rsidR="00B22CBC" w:rsidRPr="00B22CBC" w:rsidRDefault="00B22CBC" w:rsidP="00B22CBC">
      <w:pPr>
        <w:tabs>
          <w:tab w:val="left" w:pos="993"/>
        </w:tabs>
        <w:spacing w:after="0" w:line="240" w:lineRule="auto"/>
        <w:ind w:right="-143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со статьей 437 Гражданского кодекса Российской Федерации настоящее информационное сообщение является публичной </w:t>
      </w:r>
      <w:r w:rsidRPr="00B22CBC">
        <w:rPr>
          <w:rFonts w:ascii="Arial" w:eastAsia="Times New Roman" w:hAnsi="Arial" w:cs="Arial"/>
          <w:sz w:val="26"/>
          <w:szCs w:val="26"/>
          <w:lang w:eastAsia="ru-RU"/>
        </w:rPr>
        <w:lastRenderedPageBreak/>
        <w:t>офертой для заключения договора о задатке, а подача претендентом заявки и перечисление задатка на счет продавца, являются акцептом такой оферты, после чего договор о задатке считается заключенным в письменной форме.</w:t>
      </w:r>
    </w:p>
    <w:p w:rsidR="00B22CBC" w:rsidRPr="00B22CBC" w:rsidRDefault="00B22CBC" w:rsidP="00B22CBC">
      <w:pPr>
        <w:tabs>
          <w:tab w:val="left" w:pos="993"/>
        </w:tabs>
        <w:spacing w:after="0" w:line="240" w:lineRule="auto"/>
        <w:ind w:right="-143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sz w:val="26"/>
          <w:szCs w:val="26"/>
          <w:lang w:eastAsia="ru-RU"/>
        </w:rPr>
        <w:t>Документом, подтверждающим поступление задатка, является выписка со счета продавца.</w:t>
      </w:r>
    </w:p>
    <w:p w:rsidR="00B22CBC" w:rsidRPr="00B22CBC" w:rsidRDefault="00B22CBC" w:rsidP="00B22CBC">
      <w:pPr>
        <w:tabs>
          <w:tab w:val="left" w:pos="993"/>
        </w:tabs>
        <w:spacing w:after="0" w:line="240" w:lineRule="auto"/>
        <w:ind w:right="-143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sz w:val="26"/>
          <w:szCs w:val="26"/>
          <w:lang w:eastAsia="ru-RU"/>
        </w:rPr>
        <w:t xml:space="preserve">Лицам, перечислившим задаток для участия в аукционе, денежные средства возвращаются в следующем порядке: </w:t>
      </w:r>
    </w:p>
    <w:p w:rsidR="00B22CBC" w:rsidRPr="00B22CBC" w:rsidRDefault="00B22CBC" w:rsidP="00B22CBC">
      <w:pPr>
        <w:tabs>
          <w:tab w:val="left" w:pos="993"/>
        </w:tabs>
        <w:spacing w:after="0" w:line="240" w:lineRule="auto"/>
        <w:ind w:right="-143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sz w:val="26"/>
          <w:szCs w:val="26"/>
          <w:lang w:eastAsia="ru-RU"/>
        </w:rPr>
        <w:t xml:space="preserve">- участникам аукциона, за исключением его победителя  -  в течение 5 календарных дней со дня подведения итогов аукциона; </w:t>
      </w:r>
    </w:p>
    <w:p w:rsidR="00B22CBC" w:rsidRPr="00B22CBC" w:rsidRDefault="00B22CBC" w:rsidP="00B22CBC">
      <w:pPr>
        <w:tabs>
          <w:tab w:val="left" w:pos="993"/>
        </w:tabs>
        <w:spacing w:after="0" w:line="240" w:lineRule="auto"/>
        <w:ind w:right="-143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sz w:val="26"/>
          <w:szCs w:val="26"/>
          <w:lang w:eastAsia="ru-RU"/>
        </w:rPr>
        <w:t>- претендентам, не допущенным к участию в аукционе - в течение 5 календарных дней со дня подписания протокола о признании претендентов участниками аукциона.</w:t>
      </w:r>
    </w:p>
    <w:p w:rsidR="00B22CBC" w:rsidRPr="00B22CBC" w:rsidRDefault="00B22CBC" w:rsidP="00B22CBC">
      <w:pPr>
        <w:tabs>
          <w:tab w:val="left" w:pos="993"/>
        </w:tabs>
        <w:spacing w:after="0" w:line="240" w:lineRule="auto"/>
        <w:ind w:right="-143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sz w:val="26"/>
          <w:szCs w:val="26"/>
          <w:lang w:eastAsia="ru-RU"/>
        </w:rPr>
        <w:t>Внесенный победителем продажи задаток засчитывается в счет оплаты приобретаемого имущества.</w:t>
      </w:r>
    </w:p>
    <w:p w:rsidR="00B22CBC" w:rsidRPr="00B22CBC" w:rsidRDefault="00B22CBC" w:rsidP="00B22CBC">
      <w:pPr>
        <w:tabs>
          <w:tab w:val="left" w:pos="993"/>
        </w:tabs>
        <w:spacing w:after="0" w:line="240" w:lineRule="auto"/>
        <w:ind w:right="-181" w:firstLine="540"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>7.</w:t>
      </w: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</w:t>
      </w: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Перечень необходимых для участия в аукционе документов и требования к их оформлению. 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right="-360" w:firstLine="567"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1) Одновременно с заявкой претенденты представляют следующие документы: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right="-360" w:firstLine="567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- юридические лица: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right="-360" w:firstLine="567"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заверенные копии учредительных документов;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right="-360" w:firstLine="567"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right="-360" w:firstLine="567"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right="-360" w:firstLine="567"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- физические лица предъявляют документ, удостоверяющий личность, или представляют копии всех его листов.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right="-360" w:firstLine="567"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В случае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bidi="en-US"/>
        </w:rPr>
        <w:t>,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bidi="en-US"/>
        </w:rPr>
        <w:t>,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right="-360" w:firstLine="567"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2)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right="-360" w:firstLine="567"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right="-360" w:firstLine="567"/>
        <w:jc w:val="both"/>
        <w:outlineLvl w:val="1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lastRenderedPageBreak/>
        <w:t>3) В случае,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:rsidR="00B22CBC" w:rsidRPr="00B22CBC" w:rsidRDefault="00B22CBC" w:rsidP="00B22CBC">
      <w:pPr>
        <w:spacing w:after="0" w:line="240" w:lineRule="auto"/>
        <w:ind w:right="-143" w:firstLine="540"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8. Ограничения участия отдельных категорий физических и юридических лиц в приватизации имущества. </w:t>
      </w:r>
    </w:p>
    <w:p w:rsidR="00B22CBC" w:rsidRPr="00B22CBC" w:rsidRDefault="00B22CBC" w:rsidP="00B22CBC">
      <w:pPr>
        <w:tabs>
          <w:tab w:val="left" w:pos="993"/>
        </w:tabs>
        <w:spacing w:after="0" w:line="240" w:lineRule="auto"/>
        <w:ind w:right="-181"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Покупателями муниципального имущества могут быть любые физические и юридические лица, за исключением муниципальных унитарных предприятий, муниципальных учреждений, а также юридических лиц, в уставном капитале которых доля муниципального образования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Уватский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муниципальный район превышает 25 процентов. </w:t>
      </w:r>
    </w:p>
    <w:p w:rsidR="00B22CBC" w:rsidRPr="00B22CBC" w:rsidRDefault="00B22CBC" w:rsidP="00B22CBC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9. </w:t>
      </w:r>
      <w:r w:rsidRPr="00B22CBC">
        <w:rPr>
          <w:rFonts w:ascii="Arial" w:eastAsia="Times New Roman" w:hAnsi="Arial" w:cs="Arial"/>
          <w:b/>
          <w:color w:val="000000"/>
          <w:sz w:val="26"/>
          <w:szCs w:val="26"/>
          <w:lang w:bidi="en-US"/>
        </w:rPr>
        <w:t>Дата, время и место определения участников аукциона</w:t>
      </w:r>
      <w:r w:rsidRPr="00B22CBC">
        <w:rPr>
          <w:rFonts w:ascii="Arial" w:eastAsia="Times New Roman" w:hAnsi="Arial" w:cs="Arial"/>
          <w:color w:val="000000"/>
          <w:sz w:val="26"/>
          <w:szCs w:val="26"/>
          <w:lang w:bidi="en-US"/>
        </w:rPr>
        <w:t xml:space="preserve">  - 06 мая </w:t>
      </w:r>
      <w:r w:rsidRPr="00B22CBC">
        <w:rPr>
          <w:rFonts w:ascii="Arial" w:eastAsia="Times New Roman" w:hAnsi="Arial" w:cs="Arial"/>
          <w:sz w:val="26"/>
          <w:szCs w:val="26"/>
          <w:lang w:bidi="en-US"/>
        </w:rPr>
        <w:t>2014 года в 11 час. 00 мин. по местному времени по адресу: с. Уват, ул. Иртышская, д.19 (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каб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>. №301);</w:t>
      </w:r>
    </w:p>
    <w:p w:rsidR="00B22CBC" w:rsidRPr="00B22CBC" w:rsidRDefault="00B22CBC" w:rsidP="00B22C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10. Дата, время и место подведения итогов аукциона (дата проведения аукциона)</w:t>
      </w:r>
      <w:r w:rsidRPr="00B22CB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- 12 мая 2014 года в 14 час. 00 мин. по местному времени по адресу: </w:t>
      </w:r>
      <w:r w:rsidRPr="00B22CBC">
        <w:rPr>
          <w:rFonts w:ascii="Arial" w:eastAsia="Times New Roman" w:hAnsi="Arial" w:cs="Arial"/>
          <w:sz w:val="26"/>
          <w:szCs w:val="26"/>
          <w:lang w:eastAsia="ru-RU"/>
        </w:rPr>
        <w:t>с. Уват, ул. Иртышская, д.19.</w:t>
      </w:r>
    </w:p>
    <w:p w:rsidR="00B22CBC" w:rsidRPr="00B22CBC" w:rsidRDefault="00B22CBC" w:rsidP="00B22CBC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11. Порядок определения победителя аукциона. </w:t>
      </w:r>
    </w:p>
    <w:p w:rsidR="00B22CBC" w:rsidRPr="00B22CBC" w:rsidRDefault="00B22CBC" w:rsidP="00B22CBC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Победителем аукциона признается участник, номер карточки которого и заявленная им цена были названы аукционистом последним. </w:t>
      </w:r>
    </w:p>
    <w:p w:rsidR="00B22CBC" w:rsidRPr="00B22CBC" w:rsidRDefault="00B22CBC" w:rsidP="00B22CBC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12. Срок заключения договора купли-продажи и порядок оплаты имущества. </w:t>
      </w:r>
    </w:p>
    <w:p w:rsidR="00B22CBC" w:rsidRPr="00B22CBC" w:rsidRDefault="00B22CBC" w:rsidP="00B22CBC">
      <w:pPr>
        <w:tabs>
          <w:tab w:val="left" w:pos="993"/>
        </w:tabs>
        <w:spacing w:after="0" w:line="240" w:lineRule="auto"/>
        <w:ind w:right="-169"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sz w:val="26"/>
          <w:szCs w:val="26"/>
          <w:lang w:eastAsia="ru-RU"/>
        </w:rPr>
        <w:t>Договор купли-продажи имущества заключается между продавцом и победителем аукциона в установленном законодательстве порядке в течение 15 (пятнадцати)  рабочих дней, но не ранее чем через 10 (десять) рабочих дней  со дня размещения протокола об итогах проведения аукциона на официальных сайтах в сети «Интернет».</w:t>
      </w:r>
    </w:p>
    <w:p w:rsidR="00B22CBC" w:rsidRPr="00B22CBC" w:rsidRDefault="00B22CBC" w:rsidP="00B22CBC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При уклонении или отказе победителя аукциона от заключения в установленный срок договора купли-продажи имущества задаток ему не 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возвращается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и он утрачивает право на заключение указанного договора.</w:t>
      </w:r>
    </w:p>
    <w:p w:rsidR="00B22CBC" w:rsidRPr="00B22CBC" w:rsidRDefault="00B22CBC" w:rsidP="00B22CBC">
      <w:pPr>
        <w:shd w:val="clear" w:color="auto" w:fill="FFFFFF"/>
        <w:spacing w:after="0" w:line="250" w:lineRule="exact"/>
        <w:ind w:left="10" w:firstLine="530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Оплата имущества покупателем производится в течение 30 (тридцати) рабочих дней с момента заключения договора купли-продажи единовременным платежом (за вычетом суммы внесенного для участия в торгах задатка, который засчитывается в сумму оплаты имущества) путем безналичного перечисления на расчетный счет продавца </w:t>
      </w:r>
      <w:r w:rsidRPr="00B22CBC">
        <w:rPr>
          <w:rFonts w:ascii="Arial" w:eastAsia="Times New Roman" w:hAnsi="Arial" w:cs="Arial"/>
          <w:sz w:val="26"/>
          <w:szCs w:val="26"/>
          <w:lang w:eastAsia="ru-RU"/>
        </w:rPr>
        <w:t xml:space="preserve">р/с  № 40302810567100000003 в Западно-Сибирский банк ОАО «Сбербанк-России»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eastAsia="ru-RU"/>
        </w:rPr>
        <w:t>г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eastAsia="ru-RU"/>
        </w:rPr>
        <w:t>.Т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eastAsia="ru-RU"/>
        </w:rPr>
        <w:t>юмень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eastAsia="ru-RU"/>
        </w:rPr>
        <w:t>, ИНН 7225002810, КПП 722501001, ОКТМО 71 648 450, к/с 30101810800000000651, БИК 047102651</w:t>
      </w: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, получатель - Администрация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Уватского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муниципального района (далее – счет продавца). </w:t>
      </w:r>
    </w:p>
    <w:p w:rsidR="00B22CBC" w:rsidRPr="00B22CBC" w:rsidRDefault="00B22CBC" w:rsidP="00B22CBC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B22CBC" w:rsidRPr="00B22CBC" w:rsidRDefault="00B22CBC" w:rsidP="00B22C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B22CBC" w:rsidRPr="00B22CBC" w:rsidRDefault="00B22CBC" w:rsidP="00B22CBC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val="en-US" w:bidi="en-US"/>
        </w:rPr>
        <w:t>II</w:t>
      </w: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>. Сведения об имуществе</w:t>
      </w:r>
    </w:p>
    <w:p w:rsidR="00B22CBC" w:rsidRPr="00B22CBC" w:rsidRDefault="00B22CBC" w:rsidP="00B22CBC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6"/>
          <w:szCs w:val="26"/>
          <w:u w:val="single"/>
          <w:lang w:bidi="en-US"/>
        </w:rPr>
      </w:pPr>
      <w:r w:rsidRPr="00B22CBC">
        <w:rPr>
          <w:rFonts w:ascii="Arial" w:eastAsia="Times New Roman" w:hAnsi="Arial" w:cs="Arial"/>
          <w:b/>
          <w:sz w:val="26"/>
          <w:szCs w:val="26"/>
          <w:lang w:bidi="en-US"/>
        </w:rPr>
        <w:t xml:space="preserve">1. </w:t>
      </w:r>
      <w:proofErr w:type="gramStart"/>
      <w:r w:rsidRPr="00B22CBC">
        <w:rPr>
          <w:rFonts w:ascii="Arial" w:eastAsia="Times New Roman" w:hAnsi="Arial" w:cs="Arial"/>
          <w:b/>
          <w:sz w:val="26"/>
          <w:szCs w:val="26"/>
          <w:u w:val="single"/>
          <w:lang w:bidi="en-US"/>
        </w:rPr>
        <w:t xml:space="preserve">Арочный склад (сборно-разборная металлическая конструкция (далее - имущество). </w:t>
      </w:r>
      <w:proofErr w:type="gramEnd"/>
    </w:p>
    <w:p w:rsidR="00B22CBC" w:rsidRPr="00B22CBC" w:rsidRDefault="00B22CBC" w:rsidP="00B22CB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1) Характеристика имущества:</w:t>
      </w:r>
    </w:p>
    <w:p w:rsidR="00B22CBC" w:rsidRPr="00B22CBC" w:rsidRDefault="00B22CBC" w:rsidP="00B22CB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Сооружение – нежилой арочный склад, состоящий из одноэтажного каркасного строения арочного типа (основа 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bidi="en-US"/>
        </w:rPr>
        <w:t>–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м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bidi="en-US"/>
        </w:rPr>
        <w:t>еталлокаркас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, каркас из деревянных брусков, крыша (стены) – алюминиевый (дюралевый)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профлист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, полы асфальтовые), общей площадью: 458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кв.м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>.</w:t>
      </w:r>
    </w:p>
    <w:p w:rsidR="00B22CBC" w:rsidRPr="00B22CBC" w:rsidRDefault="00B22CBC" w:rsidP="00B22CBC">
      <w:pPr>
        <w:spacing w:after="0" w:line="240" w:lineRule="auto"/>
        <w:ind w:right="-1" w:firstLine="540"/>
        <w:jc w:val="both"/>
        <w:rPr>
          <w:rFonts w:ascii="Arial" w:eastAsia="Times New Roman" w:hAnsi="Arial" w:cs="Arial"/>
          <w:b/>
          <w:i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lastRenderedPageBreak/>
        <w:t>Ангар (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арочник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>) не является объектом недвижимости, продажа возможна с целью переноса на другое место с одновременным ремонтом и усилением конструкции. Продаже подлежит только сооружение, без учета стоимости земельного участка и асфальтовой площадки.</w:t>
      </w:r>
    </w:p>
    <w:p w:rsidR="00B22CBC" w:rsidRPr="00B22CBC" w:rsidRDefault="00B22CBC" w:rsidP="00B22CBC">
      <w:pPr>
        <w:spacing w:after="0" w:line="240" w:lineRule="auto"/>
        <w:ind w:right="-1" w:firstLine="540"/>
        <w:jc w:val="both"/>
        <w:rPr>
          <w:rFonts w:ascii="Arial" w:eastAsia="Times New Roman" w:hAnsi="Arial" w:cs="Arial"/>
          <w:b/>
          <w:i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2) Техническое состояние имущества – здание нуждается в капитальном ремонте, требуется окраска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металлокаркаса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>, восстановление и (или) частичная замена кровли, на момент осмотра – из инженерных систем и элементов благоустройства – только электроснабжение (освещение).</w:t>
      </w:r>
    </w:p>
    <w:p w:rsidR="00B22CBC" w:rsidRPr="00B22CBC" w:rsidRDefault="00B22CBC" w:rsidP="00B22CBC">
      <w:pPr>
        <w:spacing w:after="0" w:line="240" w:lineRule="auto"/>
        <w:ind w:right="-5" w:firstLine="708"/>
        <w:jc w:val="both"/>
        <w:rPr>
          <w:rFonts w:ascii="Arial" w:eastAsia="Times New Roman" w:hAnsi="Arial" w:cs="Arial"/>
          <w:b/>
          <w:i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Местонахождение имущества – Тюменская область,  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bidi="en-US"/>
        </w:rPr>
        <w:t>Уватский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район, 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bidi="en-US"/>
        </w:rPr>
        <w:t>с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bidi="en-US"/>
        </w:rPr>
        <w:t>. Алымка</w:t>
      </w:r>
    </w:p>
    <w:p w:rsidR="00B22CBC" w:rsidRPr="00B22CBC" w:rsidRDefault="00B22CBC" w:rsidP="00B22CBC">
      <w:pPr>
        <w:spacing w:after="0" w:line="240" w:lineRule="auto"/>
        <w:ind w:right="-5" w:firstLine="708"/>
        <w:jc w:val="both"/>
        <w:rPr>
          <w:rFonts w:ascii="Arial" w:eastAsia="Times New Roman" w:hAnsi="Arial" w:cs="Arial"/>
          <w:b/>
          <w:i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Обременения имущества – нет.</w:t>
      </w:r>
    </w:p>
    <w:p w:rsidR="00B22CBC" w:rsidRPr="00B22CBC" w:rsidRDefault="00B22CBC" w:rsidP="00B22CBC">
      <w:pPr>
        <w:spacing w:after="0" w:line="240" w:lineRule="auto"/>
        <w:ind w:right="-5" w:firstLine="708"/>
        <w:jc w:val="both"/>
        <w:rPr>
          <w:rFonts w:ascii="Arial" w:eastAsia="Times New Roman" w:hAnsi="Arial" w:cs="Arial"/>
          <w:b/>
          <w:i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Начальная цена имущества – 375 000 (триста семьдесят пять тысяч) рублей, определена на основании отчета «Об оценке рыночной стоимости имущества» от 12.11.2013 года № 175/12/13, подготовленног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bidi="en-US"/>
        </w:rPr>
        <w:t>о ООО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bidi="en-US"/>
        </w:rPr>
        <w:t xml:space="preserve"> «УВАТ-ГЕОЦЕНТР».  </w:t>
      </w:r>
    </w:p>
    <w:p w:rsidR="00B22CBC" w:rsidRPr="00B22CBC" w:rsidRDefault="00B22CBC" w:rsidP="00B22CBC">
      <w:pPr>
        <w:spacing w:after="0" w:line="240" w:lineRule="auto"/>
        <w:ind w:right="-6" w:firstLine="708"/>
        <w:jc w:val="both"/>
        <w:rPr>
          <w:rFonts w:ascii="Arial" w:eastAsia="Times New Roman" w:hAnsi="Arial" w:cs="Arial"/>
          <w:b/>
          <w:i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sz w:val="26"/>
          <w:szCs w:val="26"/>
          <w:lang w:bidi="en-US"/>
        </w:rPr>
        <w:t>Шаг аукциона (величина повышения начальной цены) – 18 750 (восемнадцать тысяч семьсот пятьдесят) рублей;</w:t>
      </w:r>
    </w:p>
    <w:p w:rsidR="00B22CBC" w:rsidRPr="00B22CBC" w:rsidRDefault="00B22CBC" w:rsidP="00B22CBC">
      <w:pPr>
        <w:shd w:val="clear" w:color="auto" w:fill="FFFFFF"/>
        <w:spacing w:after="0" w:line="250" w:lineRule="exact"/>
        <w:ind w:left="10" w:firstLine="53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Задаток </w:t>
      </w:r>
      <w:r w:rsidRPr="00B22CBC">
        <w:rPr>
          <w:rFonts w:ascii="Arial" w:eastAsia="Times New Roman" w:hAnsi="Arial" w:cs="Arial"/>
          <w:sz w:val="26"/>
          <w:szCs w:val="26"/>
          <w:lang w:eastAsia="ru-RU"/>
        </w:rPr>
        <w:t>– 37 500 (тридцать семь тысяч пятьсот)</w:t>
      </w:r>
      <w:r w:rsidRPr="00B22C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Pr="00B22CBC">
        <w:rPr>
          <w:rFonts w:ascii="Arial" w:eastAsia="Times New Roman" w:hAnsi="Arial" w:cs="Arial"/>
          <w:sz w:val="26"/>
          <w:szCs w:val="26"/>
          <w:lang w:eastAsia="ru-RU"/>
        </w:rPr>
        <w:t>рублей</w:t>
      </w:r>
      <w:r w:rsidRPr="00B22CBC">
        <w:rPr>
          <w:rFonts w:ascii="Arial" w:eastAsia="Times New Roman" w:hAnsi="Arial" w:cs="Arial"/>
          <w:b/>
          <w:i/>
          <w:sz w:val="26"/>
          <w:szCs w:val="26"/>
          <w:lang w:eastAsia="ru-RU"/>
        </w:rPr>
        <w:t xml:space="preserve">, </w:t>
      </w:r>
      <w:r w:rsidRPr="00B22CBC">
        <w:rPr>
          <w:rFonts w:ascii="Arial" w:eastAsia="Times New Roman" w:hAnsi="Arial" w:cs="Arial"/>
          <w:sz w:val="26"/>
          <w:szCs w:val="26"/>
          <w:lang w:eastAsia="ru-RU"/>
        </w:rPr>
        <w:t xml:space="preserve">вносится на основании договора о задатке единым платежом в валюте Российской Федерации на счет продавца – р/с  № 40302810567100000003 в Западно-Сибирский банк ОАО «Сбербанк-России»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eastAsia="ru-RU"/>
        </w:rPr>
        <w:t>г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eastAsia="ru-RU"/>
        </w:rPr>
        <w:t>.Т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eastAsia="ru-RU"/>
        </w:rPr>
        <w:t>юмень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eastAsia="ru-RU"/>
        </w:rPr>
        <w:t>, ИНН 7225002810, КПП 722501001, ОКТМО 71 648 450, к/с 30101810800000000651, БИК 047102651,</w:t>
      </w:r>
    </w:p>
    <w:p w:rsidR="00B22CBC" w:rsidRPr="00B22CBC" w:rsidRDefault="00B22CBC" w:rsidP="00B22CBC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22CBC">
        <w:rPr>
          <w:rFonts w:ascii="Arial" w:eastAsia="Times New Roman" w:hAnsi="Arial" w:cs="Arial"/>
          <w:sz w:val="26"/>
          <w:szCs w:val="26"/>
          <w:lang w:eastAsia="ru-RU"/>
        </w:rPr>
        <w:t xml:space="preserve">получатель - Администрация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района, назначение платежа: задаток для участия в аукционе по продаже арочного склада по адресу: Тюменская область,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eastAsia="ru-RU"/>
        </w:rPr>
        <w:t>Уватский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eastAsia="ru-RU"/>
        </w:rPr>
        <w:t xml:space="preserve"> район, </w:t>
      </w:r>
      <w:proofErr w:type="spellStart"/>
      <w:r w:rsidRPr="00B22CBC">
        <w:rPr>
          <w:rFonts w:ascii="Arial" w:eastAsia="Times New Roman" w:hAnsi="Arial" w:cs="Arial"/>
          <w:sz w:val="26"/>
          <w:szCs w:val="26"/>
          <w:lang w:eastAsia="ru-RU"/>
        </w:rPr>
        <w:t>с</w:t>
      </w:r>
      <w:proofErr w:type="gramStart"/>
      <w:r w:rsidRPr="00B22CBC">
        <w:rPr>
          <w:rFonts w:ascii="Arial" w:eastAsia="Times New Roman" w:hAnsi="Arial" w:cs="Arial"/>
          <w:sz w:val="26"/>
          <w:szCs w:val="26"/>
          <w:lang w:eastAsia="ru-RU"/>
        </w:rPr>
        <w:t>.А</w:t>
      </w:r>
      <w:proofErr w:type="gramEnd"/>
      <w:r w:rsidRPr="00B22CBC">
        <w:rPr>
          <w:rFonts w:ascii="Arial" w:eastAsia="Times New Roman" w:hAnsi="Arial" w:cs="Arial"/>
          <w:sz w:val="26"/>
          <w:szCs w:val="26"/>
          <w:lang w:eastAsia="ru-RU"/>
        </w:rPr>
        <w:t>лымка</w:t>
      </w:r>
      <w:proofErr w:type="spellEnd"/>
      <w:r w:rsidRPr="00B22CBC">
        <w:rPr>
          <w:rFonts w:ascii="Arial" w:eastAsia="Times New Roman" w:hAnsi="Arial" w:cs="Arial"/>
          <w:sz w:val="26"/>
          <w:szCs w:val="26"/>
          <w:lang w:eastAsia="ru-RU"/>
        </w:rPr>
        <w:t xml:space="preserve">  и должен поступить на указанный счет </w:t>
      </w:r>
      <w:r w:rsidRPr="00B22C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не позднее 05 </w:t>
      </w:r>
      <w:r w:rsidRPr="00B22CBC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мая 2014 г</w:t>
      </w:r>
      <w:r w:rsidRPr="00B22CBC">
        <w:rPr>
          <w:rFonts w:ascii="Arial" w:eastAsia="Times New Roman" w:hAnsi="Arial" w:cs="Arial"/>
          <w:b/>
          <w:sz w:val="26"/>
          <w:szCs w:val="26"/>
          <w:lang w:eastAsia="ru-RU"/>
        </w:rPr>
        <w:t>.</w:t>
      </w:r>
      <w:r w:rsidRPr="00B22CBC">
        <w:rPr>
          <w:rFonts w:ascii="Arial" w:eastAsia="Times New Roman" w:hAnsi="Arial" w:cs="Arial"/>
          <w:sz w:val="26"/>
          <w:szCs w:val="26"/>
          <w:lang w:eastAsia="ru-RU"/>
        </w:rPr>
        <w:t xml:space="preserve"> Заключение договора о задатке осуществляется по месту приема заявок.</w:t>
      </w:r>
    </w:p>
    <w:p w:rsidR="00B22CBC" w:rsidRPr="00B22CBC" w:rsidRDefault="00B22CBC" w:rsidP="00B22CB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22CBC" w:rsidRPr="00B22CBC" w:rsidRDefault="00B22CBC" w:rsidP="00B22CBC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iCs/>
          <w:sz w:val="26"/>
          <w:szCs w:val="26"/>
          <w:lang w:bidi="en-US"/>
        </w:rPr>
      </w:pPr>
      <w:r w:rsidRPr="00B22CBC">
        <w:rPr>
          <w:rFonts w:ascii="Arial" w:eastAsia="Times New Roman" w:hAnsi="Arial" w:cs="Arial"/>
          <w:b/>
          <w:iCs/>
          <w:sz w:val="26"/>
          <w:szCs w:val="26"/>
          <w:lang w:bidi="en-US"/>
        </w:rPr>
        <w:t>13. Порядок ознакомления с иными сведениями.</w:t>
      </w:r>
    </w:p>
    <w:p w:rsidR="00B22CBC" w:rsidRPr="00B22CBC" w:rsidRDefault="00B22CBC" w:rsidP="00B22CBC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B22CBC">
        <w:rPr>
          <w:rFonts w:ascii="Arial" w:eastAsia="Times New Roman" w:hAnsi="Arial" w:cs="Arial"/>
          <w:iCs/>
          <w:sz w:val="26"/>
          <w:szCs w:val="26"/>
          <w:lang w:bidi="en-US"/>
        </w:rPr>
        <w:t xml:space="preserve">Со дня приема заявок лицо, желающее приобрести имущество, имеет право предварительного ознакомления с информацией о подлежащем приватизации имуществе, в том числе условиями договора о задатке и договора купли-продажи,  а также формой заявки по адресу: Тюменская область, с. Уват, ул. Иртышская, д.19, каб.331, контактный телефон:  8 (34561) 28-042, а также на сайте в сети «Интернет»: </w:t>
      </w:r>
      <w:hyperlink r:id="rId7" w:history="1">
        <w:r w:rsidRPr="00B22CBC">
          <w:rPr>
            <w:rFonts w:ascii="Arial" w:eastAsia="Times New Roman" w:hAnsi="Arial" w:cs="Arial"/>
            <w:iCs/>
            <w:color w:val="0000FF"/>
            <w:sz w:val="26"/>
            <w:szCs w:val="26"/>
            <w:u w:val="single"/>
            <w:lang w:val="en-US" w:bidi="en-US"/>
          </w:rPr>
          <w:t>www</w:t>
        </w:r>
        <w:r w:rsidRPr="00B22CBC">
          <w:rPr>
            <w:rFonts w:ascii="Arial" w:eastAsia="Times New Roman" w:hAnsi="Arial" w:cs="Arial"/>
            <w:iCs/>
            <w:color w:val="0000FF"/>
            <w:sz w:val="26"/>
            <w:szCs w:val="26"/>
            <w:u w:val="single"/>
            <w:lang w:bidi="en-US"/>
          </w:rPr>
          <w:t>.</w:t>
        </w:r>
        <w:r w:rsidRPr="00B22CBC">
          <w:rPr>
            <w:rFonts w:ascii="Arial" w:eastAsia="Times New Roman" w:hAnsi="Arial" w:cs="Arial"/>
            <w:iCs/>
            <w:color w:val="0000FF"/>
            <w:sz w:val="26"/>
            <w:szCs w:val="26"/>
            <w:u w:val="single"/>
            <w:lang w:val="en-US" w:bidi="en-US"/>
          </w:rPr>
          <w:t>uvatregion</w:t>
        </w:r>
        <w:r w:rsidRPr="00B22CBC">
          <w:rPr>
            <w:rFonts w:ascii="Arial" w:eastAsia="Times New Roman" w:hAnsi="Arial" w:cs="Arial"/>
            <w:iCs/>
            <w:color w:val="0000FF"/>
            <w:sz w:val="26"/>
            <w:szCs w:val="26"/>
            <w:u w:val="single"/>
            <w:lang w:bidi="en-US"/>
          </w:rPr>
          <w:t>.</w:t>
        </w:r>
        <w:r w:rsidRPr="00B22CBC">
          <w:rPr>
            <w:rFonts w:ascii="Arial" w:eastAsia="Times New Roman" w:hAnsi="Arial" w:cs="Arial"/>
            <w:iCs/>
            <w:color w:val="0000FF"/>
            <w:sz w:val="26"/>
            <w:szCs w:val="26"/>
            <w:u w:val="single"/>
            <w:lang w:val="en-US" w:bidi="en-US"/>
          </w:rPr>
          <w:t>ru</w:t>
        </w:r>
      </w:hyperlink>
      <w:r w:rsidRPr="00B22CBC">
        <w:rPr>
          <w:rFonts w:ascii="Arial" w:eastAsia="Times New Roman" w:hAnsi="Arial" w:cs="Times New Roman"/>
          <w:sz w:val="26"/>
          <w:szCs w:val="24"/>
          <w:lang w:bidi="en-US"/>
        </w:rPr>
        <w:t xml:space="preserve">, </w:t>
      </w:r>
      <w:r w:rsidRPr="00B22CBC">
        <w:rPr>
          <w:rFonts w:ascii="Arial" w:eastAsia="Times New Roman" w:hAnsi="Arial" w:cs="Arial"/>
          <w:sz w:val="26"/>
          <w:szCs w:val="26"/>
          <w:u w:val="single"/>
          <w:lang w:val="en-US" w:eastAsia="ru-RU"/>
        </w:rPr>
        <w:t>www</w:t>
      </w:r>
      <w:r w:rsidRPr="00B22CBC">
        <w:rPr>
          <w:rFonts w:ascii="Arial" w:eastAsia="Times New Roman" w:hAnsi="Arial" w:cs="Arial"/>
          <w:sz w:val="26"/>
          <w:szCs w:val="26"/>
          <w:u w:val="single"/>
          <w:lang w:eastAsia="ru-RU"/>
        </w:rPr>
        <w:t>.</w:t>
      </w:r>
      <w:r w:rsidRPr="00B22CBC">
        <w:rPr>
          <w:rFonts w:ascii="Arial" w:eastAsia="Times New Roman" w:hAnsi="Arial" w:cs="Arial"/>
          <w:sz w:val="26"/>
          <w:szCs w:val="26"/>
          <w:u w:val="single"/>
          <w:lang w:val="en-US" w:eastAsia="ru-RU"/>
        </w:rPr>
        <w:t>torgi</w:t>
      </w:r>
      <w:r w:rsidRPr="00B22CBC">
        <w:rPr>
          <w:rFonts w:ascii="Arial" w:eastAsia="Times New Roman" w:hAnsi="Arial" w:cs="Arial"/>
          <w:sz w:val="26"/>
          <w:szCs w:val="26"/>
          <w:u w:val="single"/>
          <w:lang w:eastAsia="ru-RU"/>
        </w:rPr>
        <w:t>.</w:t>
      </w:r>
      <w:r w:rsidRPr="00B22CBC">
        <w:rPr>
          <w:rFonts w:ascii="Arial" w:eastAsia="Times New Roman" w:hAnsi="Arial" w:cs="Arial"/>
          <w:sz w:val="26"/>
          <w:szCs w:val="26"/>
          <w:u w:val="single"/>
          <w:lang w:val="en-US" w:eastAsia="ru-RU"/>
        </w:rPr>
        <w:t>gov</w:t>
      </w:r>
      <w:r w:rsidRPr="00B22CBC">
        <w:rPr>
          <w:rFonts w:ascii="Arial" w:eastAsia="Times New Roman" w:hAnsi="Arial" w:cs="Arial"/>
          <w:sz w:val="26"/>
          <w:szCs w:val="26"/>
          <w:u w:val="single"/>
          <w:lang w:eastAsia="ru-RU"/>
        </w:rPr>
        <w:t>.</w:t>
      </w:r>
      <w:r w:rsidRPr="00B22CBC">
        <w:rPr>
          <w:rFonts w:ascii="Arial" w:eastAsia="Times New Roman" w:hAnsi="Arial" w:cs="Arial"/>
          <w:sz w:val="26"/>
          <w:szCs w:val="26"/>
          <w:u w:val="single"/>
          <w:lang w:val="en-US" w:eastAsia="ru-RU"/>
        </w:rPr>
        <w:t>ru</w:t>
      </w:r>
      <w:r w:rsidRPr="00B22CBC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4D2C21" w:rsidRDefault="004D2C21"/>
    <w:sectPr w:rsidR="004D2C21" w:rsidSect="00B22C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CE1" w:rsidRDefault="00FD7CE1">
      <w:pPr>
        <w:spacing w:after="0" w:line="240" w:lineRule="auto"/>
      </w:pPr>
      <w:r>
        <w:separator/>
      </w:r>
    </w:p>
  </w:endnote>
  <w:endnote w:type="continuationSeparator" w:id="0">
    <w:p w:rsidR="00FD7CE1" w:rsidRDefault="00FD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9F6" w:rsidRDefault="00FD7CE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1F3" w:rsidRPr="00A33760" w:rsidRDefault="00B22CBC" w:rsidP="00A33760">
    <w:pPr>
      <w:pStyle w:val="a5"/>
    </w:pPr>
    <w:r w:rsidRPr="00A33760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C91" w:rsidRPr="00F154AD" w:rsidRDefault="00B22CBC" w:rsidP="00966C91">
    <w:pPr>
      <w:pStyle w:val="a5"/>
      <w:ind w:firstLine="0"/>
      <w:jc w:val="center"/>
      <w:rPr>
        <w:vertAlign w:val="superscript"/>
      </w:rPr>
    </w:pPr>
    <w:r>
      <w:rPr>
        <w:noProof/>
        <w:vertAlign w:val="superscript"/>
        <w:lang w:val="ru-RU" w:eastAsia="ru-RU" w:bidi="ar-SA"/>
      </w:rPr>
      <w:drawing>
        <wp:inline distT="0" distB="0" distL="0" distR="0" wp14:anchorId="2222C0FA" wp14:editId="2A520187">
          <wp:extent cx="1752600" cy="434340"/>
          <wp:effectExtent l="0" t="0" r="0" b="3810"/>
          <wp:docPr id="2" name="Рисунок 2" descr="XBarCode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BarCode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CE1" w:rsidRDefault="00FD7CE1">
      <w:pPr>
        <w:spacing w:after="0" w:line="240" w:lineRule="auto"/>
      </w:pPr>
      <w:r>
        <w:separator/>
      </w:r>
    </w:p>
  </w:footnote>
  <w:footnote w:type="continuationSeparator" w:id="0">
    <w:p w:rsidR="00FD7CE1" w:rsidRDefault="00FD7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9F6" w:rsidRDefault="00FD7C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2C2" w:rsidRDefault="00B22CBC" w:rsidP="00C01E5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04C79">
      <w:rPr>
        <w:noProof/>
      </w:rPr>
      <w:t>4</w:t>
    </w:r>
    <w:r>
      <w:fldChar w:fldCharType="end"/>
    </w:r>
  </w:p>
  <w:p w:rsidR="00D412C2" w:rsidRDefault="00FD7CE1" w:rsidP="00B271B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9F6" w:rsidRDefault="00FD7C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1B"/>
    <w:rsid w:val="000142DD"/>
    <w:rsid w:val="00031E16"/>
    <w:rsid w:val="00035759"/>
    <w:rsid w:val="0005506F"/>
    <w:rsid w:val="00073168"/>
    <w:rsid w:val="000813B2"/>
    <w:rsid w:val="000A0BCE"/>
    <w:rsid w:val="000A5B36"/>
    <w:rsid w:val="000D51C2"/>
    <w:rsid w:val="000D7F5A"/>
    <w:rsid w:val="000E7FB5"/>
    <w:rsid w:val="000F34BC"/>
    <w:rsid w:val="000F5FA9"/>
    <w:rsid w:val="000F655F"/>
    <w:rsid w:val="0010206A"/>
    <w:rsid w:val="00104C79"/>
    <w:rsid w:val="001127A5"/>
    <w:rsid w:val="00115CA9"/>
    <w:rsid w:val="00115FC4"/>
    <w:rsid w:val="00125910"/>
    <w:rsid w:val="00136C01"/>
    <w:rsid w:val="00154CC7"/>
    <w:rsid w:val="0016510B"/>
    <w:rsid w:val="0016635C"/>
    <w:rsid w:val="00173D74"/>
    <w:rsid w:val="00181B26"/>
    <w:rsid w:val="001D264F"/>
    <w:rsid w:val="001D39B5"/>
    <w:rsid w:val="00200400"/>
    <w:rsid w:val="002133A7"/>
    <w:rsid w:val="0021717E"/>
    <w:rsid w:val="002328C2"/>
    <w:rsid w:val="00234F06"/>
    <w:rsid w:val="00243962"/>
    <w:rsid w:val="00247028"/>
    <w:rsid w:val="00265340"/>
    <w:rsid w:val="0027039A"/>
    <w:rsid w:val="00270C89"/>
    <w:rsid w:val="002717F6"/>
    <w:rsid w:val="00274116"/>
    <w:rsid w:val="002761E9"/>
    <w:rsid w:val="00280277"/>
    <w:rsid w:val="00282F94"/>
    <w:rsid w:val="00290DF7"/>
    <w:rsid w:val="00297A15"/>
    <w:rsid w:val="00297F2A"/>
    <w:rsid w:val="002A043B"/>
    <w:rsid w:val="002A2D5E"/>
    <w:rsid w:val="002A4393"/>
    <w:rsid w:val="002A5DF5"/>
    <w:rsid w:val="002A6D1B"/>
    <w:rsid w:val="002B022B"/>
    <w:rsid w:val="002B0D0A"/>
    <w:rsid w:val="002C4712"/>
    <w:rsid w:val="002E187C"/>
    <w:rsid w:val="002F1FFA"/>
    <w:rsid w:val="002F224E"/>
    <w:rsid w:val="00303CA2"/>
    <w:rsid w:val="0032231F"/>
    <w:rsid w:val="00327449"/>
    <w:rsid w:val="00331CC7"/>
    <w:rsid w:val="00340378"/>
    <w:rsid w:val="003662B5"/>
    <w:rsid w:val="003728B5"/>
    <w:rsid w:val="0037306C"/>
    <w:rsid w:val="003768C8"/>
    <w:rsid w:val="003A2BD8"/>
    <w:rsid w:val="003A3B35"/>
    <w:rsid w:val="003A4971"/>
    <w:rsid w:val="003B557C"/>
    <w:rsid w:val="003D3983"/>
    <w:rsid w:val="003E1189"/>
    <w:rsid w:val="003E52B2"/>
    <w:rsid w:val="003E693B"/>
    <w:rsid w:val="003F12BB"/>
    <w:rsid w:val="003F438B"/>
    <w:rsid w:val="00402F77"/>
    <w:rsid w:val="0042046A"/>
    <w:rsid w:val="00423479"/>
    <w:rsid w:val="00434710"/>
    <w:rsid w:val="00436B2A"/>
    <w:rsid w:val="0044350B"/>
    <w:rsid w:val="00445009"/>
    <w:rsid w:val="004712DE"/>
    <w:rsid w:val="004842FF"/>
    <w:rsid w:val="004A2C93"/>
    <w:rsid w:val="004B19B9"/>
    <w:rsid w:val="004B5E42"/>
    <w:rsid w:val="004B7060"/>
    <w:rsid w:val="004C1AEF"/>
    <w:rsid w:val="004D153B"/>
    <w:rsid w:val="004D2B9E"/>
    <w:rsid w:val="004D2C21"/>
    <w:rsid w:val="004D705C"/>
    <w:rsid w:val="004F1EFC"/>
    <w:rsid w:val="00554D84"/>
    <w:rsid w:val="00562AA5"/>
    <w:rsid w:val="00581803"/>
    <w:rsid w:val="00582FE8"/>
    <w:rsid w:val="00592D56"/>
    <w:rsid w:val="0059329A"/>
    <w:rsid w:val="00594870"/>
    <w:rsid w:val="005975A8"/>
    <w:rsid w:val="005975AE"/>
    <w:rsid w:val="005977C1"/>
    <w:rsid w:val="005A6F9A"/>
    <w:rsid w:val="005B0743"/>
    <w:rsid w:val="005B5737"/>
    <w:rsid w:val="005B755D"/>
    <w:rsid w:val="005B7B82"/>
    <w:rsid w:val="005D174E"/>
    <w:rsid w:val="005D3062"/>
    <w:rsid w:val="005D3C08"/>
    <w:rsid w:val="005D6B8F"/>
    <w:rsid w:val="005F4964"/>
    <w:rsid w:val="005F6869"/>
    <w:rsid w:val="006055A1"/>
    <w:rsid w:val="00611BC8"/>
    <w:rsid w:val="0062161E"/>
    <w:rsid w:val="00621A37"/>
    <w:rsid w:val="00623708"/>
    <w:rsid w:val="00631BDD"/>
    <w:rsid w:val="00644154"/>
    <w:rsid w:val="00650DEE"/>
    <w:rsid w:val="00650F18"/>
    <w:rsid w:val="006623B2"/>
    <w:rsid w:val="00662F06"/>
    <w:rsid w:val="006762C2"/>
    <w:rsid w:val="00683B6A"/>
    <w:rsid w:val="00686CA9"/>
    <w:rsid w:val="006A09E6"/>
    <w:rsid w:val="006C101B"/>
    <w:rsid w:val="006C304A"/>
    <w:rsid w:val="006E2A56"/>
    <w:rsid w:val="006E5AD2"/>
    <w:rsid w:val="006E6CAB"/>
    <w:rsid w:val="006F4398"/>
    <w:rsid w:val="007022B2"/>
    <w:rsid w:val="00711D2B"/>
    <w:rsid w:val="0071497F"/>
    <w:rsid w:val="00730402"/>
    <w:rsid w:val="00736FCD"/>
    <w:rsid w:val="00737EEA"/>
    <w:rsid w:val="00751E3F"/>
    <w:rsid w:val="00756B2F"/>
    <w:rsid w:val="007848A7"/>
    <w:rsid w:val="00791D04"/>
    <w:rsid w:val="007A016F"/>
    <w:rsid w:val="007A6145"/>
    <w:rsid w:val="007B3DCA"/>
    <w:rsid w:val="007B7077"/>
    <w:rsid w:val="007D5F9E"/>
    <w:rsid w:val="007E7781"/>
    <w:rsid w:val="00803754"/>
    <w:rsid w:val="00815390"/>
    <w:rsid w:val="0082020B"/>
    <w:rsid w:val="00820473"/>
    <w:rsid w:val="00826D75"/>
    <w:rsid w:val="008424D0"/>
    <w:rsid w:val="00844704"/>
    <w:rsid w:val="00852A8F"/>
    <w:rsid w:val="00852AE0"/>
    <w:rsid w:val="00857773"/>
    <w:rsid w:val="00866049"/>
    <w:rsid w:val="008818D5"/>
    <w:rsid w:val="008A46E2"/>
    <w:rsid w:val="008C352C"/>
    <w:rsid w:val="008E49C4"/>
    <w:rsid w:val="008F04FA"/>
    <w:rsid w:val="008F7897"/>
    <w:rsid w:val="0090528C"/>
    <w:rsid w:val="00927E33"/>
    <w:rsid w:val="00940EB4"/>
    <w:rsid w:val="00942120"/>
    <w:rsid w:val="0094772C"/>
    <w:rsid w:val="00982664"/>
    <w:rsid w:val="00991A38"/>
    <w:rsid w:val="00992B4A"/>
    <w:rsid w:val="009C701B"/>
    <w:rsid w:val="009D46C5"/>
    <w:rsid w:val="009F3907"/>
    <w:rsid w:val="009F7960"/>
    <w:rsid w:val="00A01B0A"/>
    <w:rsid w:val="00A13473"/>
    <w:rsid w:val="00A16DCE"/>
    <w:rsid w:val="00A42B72"/>
    <w:rsid w:val="00A43B37"/>
    <w:rsid w:val="00A623B0"/>
    <w:rsid w:val="00A66CED"/>
    <w:rsid w:val="00A74FC7"/>
    <w:rsid w:val="00A77AD7"/>
    <w:rsid w:val="00A854FF"/>
    <w:rsid w:val="00A86D65"/>
    <w:rsid w:val="00A9256F"/>
    <w:rsid w:val="00A933BC"/>
    <w:rsid w:val="00AA1936"/>
    <w:rsid w:val="00AA52BC"/>
    <w:rsid w:val="00AA583D"/>
    <w:rsid w:val="00AA6C13"/>
    <w:rsid w:val="00AB53F0"/>
    <w:rsid w:val="00AB62D0"/>
    <w:rsid w:val="00AC0590"/>
    <w:rsid w:val="00AC620B"/>
    <w:rsid w:val="00AE549B"/>
    <w:rsid w:val="00AF0067"/>
    <w:rsid w:val="00AF10F6"/>
    <w:rsid w:val="00AF3A33"/>
    <w:rsid w:val="00B00CED"/>
    <w:rsid w:val="00B069E0"/>
    <w:rsid w:val="00B06DBB"/>
    <w:rsid w:val="00B20564"/>
    <w:rsid w:val="00B22CBC"/>
    <w:rsid w:val="00B26F9C"/>
    <w:rsid w:val="00B308D6"/>
    <w:rsid w:val="00B34D48"/>
    <w:rsid w:val="00B67106"/>
    <w:rsid w:val="00B67B29"/>
    <w:rsid w:val="00B72D02"/>
    <w:rsid w:val="00B742F0"/>
    <w:rsid w:val="00B821C8"/>
    <w:rsid w:val="00B91DD6"/>
    <w:rsid w:val="00B94D88"/>
    <w:rsid w:val="00B97A2D"/>
    <w:rsid w:val="00B97F85"/>
    <w:rsid w:val="00BB16E7"/>
    <w:rsid w:val="00BB3D17"/>
    <w:rsid w:val="00BB4FB2"/>
    <w:rsid w:val="00BE1E91"/>
    <w:rsid w:val="00BE20F1"/>
    <w:rsid w:val="00BF258C"/>
    <w:rsid w:val="00C168C9"/>
    <w:rsid w:val="00C2195E"/>
    <w:rsid w:val="00C23718"/>
    <w:rsid w:val="00C254FC"/>
    <w:rsid w:val="00C41453"/>
    <w:rsid w:val="00C504ED"/>
    <w:rsid w:val="00C56639"/>
    <w:rsid w:val="00C61B27"/>
    <w:rsid w:val="00C63807"/>
    <w:rsid w:val="00C6428F"/>
    <w:rsid w:val="00C6673B"/>
    <w:rsid w:val="00C75318"/>
    <w:rsid w:val="00C75D05"/>
    <w:rsid w:val="00C81D6B"/>
    <w:rsid w:val="00C86E55"/>
    <w:rsid w:val="00CA30AB"/>
    <w:rsid w:val="00CB05BE"/>
    <w:rsid w:val="00CB5D52"/>
    <w:rsid w:val="00CC0016"/>
    <w:rsid w:val="00CC5782"/>
    <w:rsid w:val="00CC715D"/>
    <w:rsid w:val="00CD299E"/>
    <w:rsid w:val="00CE05E6"/>
    <w:rsid w:val="00D00F9A"/>
    <w:rsid w:val="00D1069E"/>
    <w:rsid w:val="00D204E7"/>
    <w:rsid w:val="00D26BF1"/>
    <w:rsid w:val="00D4064E"/>
    <w:rsid w:val="00D454F8"/>
    <w:rsid w:val="00D634B5"/>
    <w:rsid w:val="00D8025C"/>
    <w:rsid w:val="00DA3F41"/>
    <w:rsid w:val="00DA7115"/>
    <w:rsid w:val="00DB5E8F"/>
    <w:rsid w:val="00DE76D2"/>
    <w:rsid w:val="00DF6831"/>
    <w:rsid w:val="00E12B59"/>
    <w:rsid w:val="00E279F1"/>
    <w:rsid w:val="00E451D4"/>
    <w:rsid w:val="00E62E58"/>
    <w:rsid w:val="00E6686C"/>
    <w:rsid w:val="00E74E6D"/>
    <w:rsid w:val="00E83349"/>
    <w:rsid w:val="00E90A00"/>
    <w:rsid w:val="00EA3038"/>
    <w:rsid w:val="00EE3FD8"/>
    <w:rsid w:val="00EF07CE"/>
    <w:rsid w:val="00F33507"/>
    <w:rsid w:val="00F42BFF"/>
    <w:rsid w:val="00F5218F"/>
    <w:rsid w:val="00F624E3"/>
    <w:rsid w:val="00F707CB"/>
    <w:rsid w:val="00F7368F"/>
    <w:rsid w:val="00FA103D"/>
    <w:rsid w:val="00FA7ED6"/>
    <w:rsid w:val="00FC0E61"/>
    <w:rsid w:val="00FD01F0"/>
    <w:rsid w:val="00FD3791"/>
    <w:rsid w:val="00FD3E77"/>
    <w:rsid w:val="00FD7CE1"/>
    <w:rsid w:val="00FF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22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22CBC"/>
  </w:style>
  <w:style w:type="paragraph" w:styleId="a5">
    <w:name w:val="footer"/>
    <w:basedOn w:val="a"/>
    <w:link w:val="a6"/>
    <w:uiPriority w:val="99"/>
    <w:unhideWhenUsed/>
    <w:rsid w:val="00B22CBC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6">
    <w:name w:val="Нижний колонтитул Знак"/>
    <w:basedOn w:val="a0"/>
    <w:link w:val="a5"/>
    <w:uiPriority w:val="99"/>
    <w:rsid w:val="00B22CBC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B22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2C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22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22CBC"/>
  </w:style>
  <w:style w:type="paragraph" w:styleId="a5">
    <w:name w:val="footer"/>
    <w:basedOn w:val="a"/>
    <w:link w:val="a6"/>
    <w:uiPriority w:val="99"/>
    <w:unhideWhenUsed/>
    <w:rsid w:val="00B22CBC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6">
    <w:name w:val="Нижний колонтитул Знак"/>
    <w:basedOn w:val="a0"/>
    <w:link w:val="a5"/>
    <w:uiPriority w:val="99"/>
    <w:rsid w:val="00B22CBC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B22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2C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uvatregion.ru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1446</Words>
  <Characters>8247</Characters>
  <Application>Microsoft Office Word</Application>
  <DocSecurity>0</DocSecurity>
  <Lines>68</Lines>
  <Paragraphs>19</Paragraphs>
  <ScaleCrop>false</ScaleCrop>
  <Company>AdmUvat</Company>
  <LinksUpToDate>false</LinksUpToDate>
  <CharactersWithSpaces>9674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2014-04-03T10:22:00Z</dcterms:created>
  <dcterms:modified xsi:type="dcterms:W3CDTF">2014-04-04T05:25:00Z</dcterms:modified>
</cp:coreProperties>
</file>